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142</w:t>
      </w:r>
    </w:p>
    <w:p>
      <w:r>
        <w:t>Bundesgericht (BGE), 1996-04-24, DE</w:t>
      </w:r>
    </w:p>
    <w:p>
      <w:r>
        <w:rPr>
          <w:b/>
        </w:rPr>
        <w:t xml:space="preserve">Quelle: </w:t>
      </w:r>
      <w:r>
        <w:t>https://mcp.opencaselaw.ch/entscheid/bge_122 V 142</w:t>
      </w:r>
    </w:p>
    <w:p>
      <w:r>
        <w:t>FR: ATF 122 V 142</w:t>
      </w:r>
    </w:p>
    <w:p>
      <w:r>
        <w:t>IT: DTF 122 V 142</w:t>
      </w:r>
    </w:p>
    <w:p>
      <w:pPr>
        <w:pStyle w:val="Heading2"/>
      </w:pPr>
      <w:r>
        <w:t>Regeste</w:t>
      </w:r>
    </w:p>
    <w:p>
      <w:r>
        <w:t>Regeste Art. 28, 29, 66 BVG, Art. 331b OR, Art. 89bis ZGB. - Damit die als Befreiungsversprechen (Art. 175 Abs. 1 OR) zu wertende arbeitsvertragliche Verpflichtung des Arbeitgebers, den reglementsgemäss dem versicherten Arbeitnehmer obliegenden Einkauf zu finanzieren, vorsorgerechtlich bedeutsam wird, bedarf es nicht nur eines Schuldübernahmevertrages (Art. 176 Abs. 1 OR) zwischen Vorsorgeeinrichtung und Arbeitgeber, sondern einer schriftlichen Änderung des Vorsorgevertrages selbst (Präzisierung der Rechtsprechung). - In casu haben die Parteien des Vorsorgevertrages eine formgültige Absprache getroffen; doch ergibt deren Auslegung, dass damit die reglementarische Ordnung nicht derogiert wird.</w:t>
      </w:r>
    </w:p>
    <w:p>
      <w:pPr>
        <w:pStyle w:val="Heading2"/>
      </w:pPr>
      <w:r>
        <w:t>Erwägungen</w:t>
      </w:r>
    </w:p>
    <w:p>
      <w:r>
        <w:rPr>
          <w:b/>
        </w:rPr>
        <w:t>E. 1</w:t>
      </w:r>
    </w:p>
    <w:p>
      <w:r>
        <w:t>(Zuständigkeit)</w:t>
      </w:r>
    </w:p>
    <w:p>
      <w:r>
        <w:rPr>
          <w:b/>
        </w:rPr>
        <w:t>E. 2</w:t>
      </w:r>
    </w:p>
    <w:p>
      <w:r>
        <w:t>(Kognition)</w:t>
      </w:r>
    </w:p>
    <w:p>
      <w:r>
        <w:rPr>
          <w:b/>
        </w:rPr>
        <w:t>E. 3</w:t>
      </w:r>
    </w:p>
    <w:p>
      <w:r>
        <w:t>Streitig ist einzig, ob und - gegebenenfalls - in welchem Umfang die Freizügigkeitsleistung des Beschwerdeführers zu erhöhen ist um den Anteil am Einkauf, der an seiner Stelle gemäss arbeitsvertraglicher Absprache und mit Einverständnis der Vorsorgeeinrichtung von der Arbeitgeberin übernommen wurde.</w:t>
      </w:r>
    </w:p>
    <w:p>
      <w:r>
        <w:rPr>
          <w:b/>
        </w:rPr>
        <w:t>E. 4</w:t>
      </w:r>
    </w:p>
    <w:p>
      <w:r>
        <w:t>a) Bei den Rechtsbeziehungen, die zwischen dem Arbeitgeber, dem Arbeitnehmer und der Personalvorsorgeeinrichtung bestehen, gilt es deutlich BGE 122 V 142 S. 145 zwischen dem Arbeitsvertrag einerseits und dem Vorsorgevertrag anderseits zu unterscheiden. Dieser darf nicht mit dem Arbeitsvertrag im Sinne von Art. 319 ff. OR verwechselt oder als Bestandteil desselben angesehen werden (RIEMER, Das Recht der beruflichen Vorsorge in der Schweiz, 1985, S. 102, N. 13 zu § 4). Ohne Rücksicht auf inhaltliche Unterschiede erweist sich diese Abgrenzung schon deshalb als unumgänglich, weil an den beiden Verträgen je verschiedene Rechtssubjekte beteiligt sind. Während sich im Arbeitsvertrag der Arbeitnehmer und der Arbeitgeber gegenüberstehen, sind am Vorsorgevertrag der Arbeitnehmer und die rechtlich selbständige Vorsorgeeinrichtung beteiligt ( BGE 118 V 231 Erw. 4a; vgl. ferner BGE 120 V 344 Erw. 3b). b) Bei der Beschwerdegegnerin handelt es sich um eine umhüllende Vorsorgeeinrichtung, die nicht nur die gesetzlichen Minimalleistungen gemäss den Vorschriften des BVG erbringt, sondern weitergehende Leistungen, die dem Bereich der freiwilligen beruflichen Vorsorge zuzuordnen sind. Wie sich der aufliegenden Berechnung der Austrittsleistung entnehmen lässt, geht es bei den Freizügigkeitsansprüchen des Beschwerdeführers in erster Linie um solche aus dem überobligatorischen Bereich. Dies gilt auch für die hier streitige Einkaufsleistung. Im Bereich der vorliegend betroffenen freiwilligen beruflichen Vorsorge wird das Rechtsverhältnis zwischen einer Vorsorgeeinrichtung und dem Vorsorgenehmer durch den Vorsorgevertrag begründet, der den Innominatsverträgen (eigener Art) zuzuordnen ist. Als solcher untersteht er in erster Linie den allgemeinen Bestimmungen des Obligationenrechts. Das Reglement stellt den vorformulierten Inhalt des Vorsorgevertrages bzw. dessen Allgemeine Bedingungen (AGB) dar, denen sich der Versicherte ausdrücklich oder durch konkludentes Verhalten unterzieht ( BGE 118 V 232 Erw. 4b, BGE 116 V 221 Erw. 2 mit Hinweisen; vgl. ferner BGE 119 V 144 Erw. 5b). Dies schliesst nicht aus, dass im Einzelfall auch vom Reglement abweichende Abreden getroffen werden können (RIEMER, Vorsorge-, Fürsorge- und Sparverträge der beruflichen Vorsorge, in: Innominatsverträge, Festgabe zum 60. Geburtstag von Walter R. Schluep, S. 237). Allerdings bedarf es hiefür einer entsprechenden Vereinbarung zwischen der Vorsorgeeinrichtung und dem versicherten Arbeitnehmer, welchem Erfordernis die alleinige arbeitsvertragliche Abrede wesensgemäss nicht zu genügen vermag ( BGE 118 V 232 Erw. 4b; vgl. ferner SZS 1994 S. 202). BGE 122 V 142 S. 146 c) Die Auslegung des Reglements als vorformulierter Inhalt des Vorsorgevertrages geschieht nach dem Vertrauensprinzip. Dabei sind jedoch die den Allgemeinen Bedingungen innewohnenden Besonderheiten zu beachten, namentlich die sogenannten Unklarheits- und Ungewöhnlichkeitsregeln ( BGE 116 V 222 Erw. 2; SZS 1995 S. 51 und 1994 S. 205 Erw. 3c; zu den Auslegungsregeln vgl. ferner Alfred KOLLER, Schweizerisches Obligationenrecht, Allgemeiner Teil, Bd. I, Bern 1996, Nr. 1580 ff., 1605 ff.).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 Sodann sind nach konstanter Rechtsprechung mehrdeutige Wendungen in vorformulierten Vertragsbedingungen im Zweifel zu Lasten ihres Verfassers auszulegen ( BGE 120 V 452 Erw. 5a, 119 II 373 Erw. 4b mit Hinweisen; JÄGGI/GAUCH, Zürcher Kommentar, Bd. V/1b, N. 451 ff. zu Art. 18 OR ; unveröffentlichtes Urteil E. vom 27. September 1995).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121 III 123 Erw. 4b/aa mit Hinweisen; SJ 1995 S. 263 f. Erw. 1a; vgl. ferner KRAMER, a.a.O., N. 67 ff. und JÄGGI/GAUCH, a.a.O., N. 306, 332, 342 f. je zu Art. 18 OR ; GUHL/MERZ/KOLLER, Schweizerisches Obligationenrecht, Allgemeiner Teil, 8. Aufl., Zürich 1991, S. 97).</w:t>
      </w:r>
    </w:p>
    <w:p>
      <w:r>
        <w:rPr>
          <w:b/>
        </w:rPr>
        <w:t>E. 5</w:t>
      </w:r>
    </w:p>
    <w:p>
      <w:r>
        <w:t>a) Nach Art. 13 Ziff. 2 des Reglements der Pensionskasse W. vom 1. Januar 1990 haben deren "Mitglieder" die Möglichkeit, beim Eintritt in die Kasse Rentenprozente bis zum Erreichen der Maximalrente von 60% einzukaufen. Im übrigen entrichten die aktiven "Mitglieder" ab dem auf die Vollendung des 19. Altersjahres folgenden Jahr wiederkehrende Beiträge von 6% des versicherten Lohnes (Art. 16 Ziff. 1), während die Firma ihrerseits Beiträge in Höhe von 10% der versicherten Löhne aller beitragspflichtigen BGE 122 V 142 S. 147 "Mitglieder" erbringt (Art. 17 Ziff. 1). Unter dem Titel "Höhe der Austrittsabfindung" regelt sodann Art. 37 die Bemessung der Freizügigkeitsleistung. Diese besteht gemäss Ziff. 2 aus den eingebrachten Einlagen (Freizügigkeitsleistungen und Einkäufe) mit Zins, den persönlichen Beiträgen und Nachzahlungen ohne Zins, sowie einem Zuschlag auf die persönlichen Beiträge und Nachzahlungen von 40% im ersten Dienstjahr, jährlich um 4% steigend, bis zu einem Maximum von 120% ab 21. Dienstjahr. b) Aus der dargelegten reglementarischen Ordnung folgt, dass die Finanzierung des Einkaufs zusätzlicher Rentenprozente - vorsorgerechtlich - allein dem versicherten Arbeitnehmer obliegt. Denn die Beteiligung der Arbeitgeberin (Art. 17 Ziff. 1) bezieht sich einzig auf die paritätische Beitragspflicht ( Art. 66 Abs. 1 BVG ; Art. 331 Abs. 3 OR ), während der Einkauf (Art. 13 Ziff. 2) davon nicht erfasst wird. Mit anderen Worten handelt es sich bei den zum Zwecke des Einkaufs geleisteten Mitteln - immer aus Sicht des Reglements - ausschliesslich um Arbeitnehmerleistungen. Diese sind dem bei Auflösung des Arbeitsverhältnisses aus der Vorsorgeeinrichtung austretenden Versicherten (Art. 36 Ziff. 1) im Rahmen der "Austrittsabfindung" mitzugeben (Art. 37 Ziff. 2), was auch von der Beschwerdegegnerin nicht angezweifelt wird. Umstritten und im folgenden zu prüfen ist indes, ob die für den Einkauf aufgewendeten Mittel ihren Charakter als Arbeitnehmerleistungen verloren und daher bei der Bemessung der Freizügigkeitsleistung ausser acht zu bleiben haben, soweit sie gemäss arbeitsvertraglicher Absprache, mit Billigung der Beschwerdegegnerin von der Arbeitgeberin übernommen wurden.</w:t>
      </w:r>
    </w:p>
    <w:p>
      <w:r>
        <w:rPr>
          <w:b/>
        </w:rPr>
        <w:t>E. 6</w:t>
      </w:r>
    </w:p>
    <w:p>
      <w:r>
        <w:t>a) Die hier von der Arbeitgeberin im Rahmen des Arbeitsvertrages gleichsam im Sinne eines gebundenen Lohnbestandteils übernommene Verpflichtung, den aus vorsorgerechtlicher Sicht dem Beschwerdeführer obliegenden Einkauf zur Hälfte zu finanzieren, hat das Eidg. Versicherungsgericht in einem ähnlich gelagerten Fall als uneigentliche Schuldübernahme im Sinne eines Befreiungsversprechens gemäss Art. 175 Abs. 1 OR gewertet ( BGE 118 V 234 Erw. 6b mit Hinweisen). Damit solche Absprachen (extern) zu einem Schuldnerwechsel führen und darüber hinaus die entsprechenden Leistungen auch vorsorgerechtlich zu solchen des Arbeitgebers werden, bedarf es zusätzlich nicht nur eines Schuldübernahmevertrages (privative Schuldübernahme) im Sinne von Art. 176 ff. OR zwischen Vorsorgeeinrichtung (= Gläubigerin) und Arbeitgeberin (= Übernehmerin), sondern einer schriftlichen Änderung des Vorsorgevertrages BGE 122 V 142 S. 148 selbst ( BGE 118 V 235 f. Erw. 6c). Letzteres ist insofern erforderlich und hier klarer als in BGE 118 V 235 f. hervorzuheben, als die wesensgemäss ohne unmittelbaren Einbezug des ursprünglichen Schuldners ablaufende Schuldübernahme sich stets auf einzelne Verpflichtungen und nicht auf ganze Vertragsverhältnisse bezieht (GAUCH/SCHLUEP, Schweizerisches Obligationenrecht, Allgemeiner Teil, Bd. II, 6. Aufl., Zürich 1995, Rz. 3713; GUHL/MERZ/KOLLER, a.a.O., S. 247 unten f.). Mithin wechseln beim zweiseitigen Vertrag nur die Pflichten des Schuldners zum Übernehmer, während dieser die daraus fliessenden Rechte nicht geltend machen kann (SPIRIG, Zürcher Kommentar, Bd. V/1k, N. 40 zu Vorbemerkungen zu Art. 175 - 183 OR und N. 41 zu Art. 179 OR ). Folglich kann allein durch den sich im Verhältnis zwischen Arbeitgeberin und Vorsorgeeinrichtung vollziehenden Schuldübernahmevertrag das zwischen dieser und dem Versicherten bestehende vorsorgevertragliche Verhältnis von vornherein nicht wirksam abgeändert werden (insofern ungenau BGE 118 V 237 Erw. 6d). b) Im zu beurteilenden Fall ist am Vorliegen einer - über den Arbeitsvertrag und den zwischen Arbeitgeberin und Pensionskasse ergangenen Schuldübernahmevertrag hinausgreifenden - formgültigen Absprache zwischen Versichertem und Vorsorgeeinrichtung nicht zu zweifeln. In dieser Hinsicht ist nicht nur das Schreiben der Beschwerdegegnerin vom 6. September 1991 zu erwähnen, worin die hälftige Aufteilung der Einkaufsleistung zwischen Beschwerdeführer und Arbeitgeberin erwähnt wurde ("Gemäss Unterredung mit Herrn X würde dieser Betrag zu je 1/2 aufgeteilt, so dass Ihnen monatlich Fr. 301.70 als Einkauf vom Salär abgezogen würden, die andere Hälfte von Fr. 301.70 würde von der Firma getragen."), sondern vor allem die Aufnahmebestätigung vom 9. April 1992, die hinsichtlich der Einkaufsregelung wie folgt lautete: "Damit Sie den Maximalsatz der Altersrente von 60% erreichen, fehlen Ihnen 8,25%. Der Einkauf von Rentenprozenten basiert auf dem versicherten Jahreslohn und dem Alter. Für 1 Rentenprozent sind 8,4% von Fr. 140'400.--, d.h. Fr. 11'793.60 nötig. Der Einkauf der fehlenden 8,25 Rentenprozenten kostet Fr. 97'297.20. Wie bereits bei Ihrem Eintritt besprochen, werden Sie die fehlenden 8,25 Rentenprozente im Betrage von Fr. 97'297.20 mit einem monatlichen Zusatzbetrag bis Alter 65 (längstens bis zum Tod oder Invalidität) einkaufen; bei allfälliger vorzeitiger Pensionierung sind ausstehende Zusatzbeiträge bis zum Terminalter zu bezahlen. Der monatliche Zusatzbeitrag beträgt ab 01.03.1992 Fr. 589.90 und wird zu 50% von der Firma übernommen, d.h. Ihr monatlicher Abzug beläuft sich auf Fr. 294.95." BGE 122 V 142 S. 149 Diese Aufnahmebestätigung regelt die Modalitäten des konkreten Vorsorgeverhältnisses in Ergänzung zum Reglement vom 1. Januar 1990. Sie ist mit dem (stillschweigenden) Einverständnis des Beschwerdeführers zwischen den sachlich zuständigen Parteien (vgl. BRÜHWILER, Die betriebliche Personalvorsorge in der Schweiz, Bern 1989, § 8 Rz. 29), in schriftlicher Form ergangen und daher geeignet, zwischen diesen vorsorgerechtliche Wirkungen zu entfalten. Entgegen den Vorbringen in der Verwaltungsgerichtsbeschwerde ist der Vereinbarung insbesondere nicht schon deswegen die Verbindlichkeit abzusprechen, weil sie nicht vom Stiftungsrat selbst unterzeichnet wurde. Wie die Beschwerdegegnerin zu Recht ausführt, ist hier zwischen der Vertretung im Aussenverhältnis und der internen Beschlussfassung zu unterscheiden, wobei jene auch im Falle einer Stiftung auf bestimmte Organe oder Geschäftsführer - einzeln oder kollektiv - übertragen werden kann (RIEMER, Berner Kommentar, Bd. I/3, N. 5 ff. und 26 zu Art. 83 ZGB ), was hier offenbar zutrifft. Diese Frage der Vertretungsbefugnis mag letztlich offenbleiben. Denn die mangels Feststellbarkeit des subjektiven Vertragswillens nach dem Vertrauensprinzip vorzunehmende objektivierte Auslegung (vgl. Erw. 4c) der Aufnahmebestätigung ergibt, dass damit wohl der Einkauf zusätzlicher Rentenprozente und seine Zahlungsmodalitäten, darüber hinaus jedoch nichts weiter geregelt wurde, was hier von ausschlaggebender Bedeutung sein könnte. Namentlich ist ihr nichts zu entnehmen, was in guten Treuen als Abänderung von Art. 13 Ziff. 2 des Reglements verstanden werden dürfte oder gar müsste und was vor allem im Rahmen von dessen Art. 37 Ziff. 2 bei der Zusammensetzung der Austrittsabfindung beachtlich wäre. Insofern bleibt unerheblich, dass die Vorsorgeeinrichtung zu einer Beteiligung der Arbeitgeberin an der Finanzierung der Einkaufssumme Hand geboten hatte. Deswegen die entsprechenden Zahlungen als vorsorgerechtliche Arbeitgeberleistungen zu qualifizieren mit der Folge, dass diese im Freizügigkeitsfall nicht mitzugeben wären (vgl. Art. 37 Ziff. 2 des Reglements), geht jedenfalls im Lichte von Treu und Glauben nicht an, solange in der Aufnahmebestätigung auf die fraglichen Reglementsbestimmungen nicht einmal andeutungsweise Bezug genommen wird (vgl. hiezu BGE 118 V 237 Erw. 6c/dd). Dies um so weniger, als darin sogar ausdrücklich davon die Rede ist, dass der Beschwerdeführer ("Sie") die fehlenden Rentenprozente einzukaufen habe, worauf dieser in seiner Klage vergeblich hingewiesen hat. BGE 122 V 142 S. 150 c) Nach dem Gesagten ist die Vorinstanz zu Unrecht von einer vorsorgerechtlich bedeutsamen Abänderung der Einkaufsregelung gemäss Art. 13 Ziff. 2 des Reglements ausgegangen. Dabei hat sie ihrer Beurteilung zwar richtigerweise die in BGE 118 V 229 begründete Rechtsprechung zugrunde gelegt, dabei jedoch die - hier nach dem Vertrauensprinzip auszulegende - Einzelabrede zu wenig auf ihren Gehalt hin untersucht, welchem Gesichtspunkt das Eidg. Versicherungsgericht in jenem Fall zufolge Nichterfüllung des Formerfordernisses nicht nachzugehen brauchte. Nachdem somit die reglementarische Ordnung durch die Beteiligung der Arbeitgeberin an der Finanzierung des Einkaufs zusätzlicher Rentenprozente und die entsprechende Absprache nicht derogiert wurde, erweist sich das Begehren des Beschwerdeführers in grundsätzlicher Hinsicht als begründet. Damit bleibt die Bemessung der gestellten Forderung zu prüfen.</w:t>
      </w:r>
    </w:p>
    <w:p>
      <w:r>
        <w:rPr>
          <w:b/>
        </w:rPr>
        <w:t>E. 7</w:t>
      </w:r>
    </w:p>
    <w:p>
      <w:r>
        <w:t>Während der Beschwerdeführer in der Klage noch die Zusprechung des Anteils an der gesamten bis zum 65. Altersjahr zu erbringenden Einkaufssumme (Fr. 48'648.60) anbegehrte, beantragt er vor Eidg. Versicherungsgericht dem Sinne nach bloss noch, dass der ihm zustehende Betrag nach Massgabe der von ihm selbst (Fr. 19'193.--), allenfalls der von seiner Arbeitgeberin bereits erbrachten Leistungen (Fr. 4'719.20) festzusetzen sei. Diese Reduktion ist zu Recht erfolgt, nachdem das für den Einkauf erforderliche Kapital nach dem klaren Vertragswillen nicht auf einmal einbezahlt wurde, sondern - bis zum Erreichen des Pensionsalters - in monatlichen Raten aufzubringen war oder gewesen wäre. Dieser von allen Beteiligten gebilligte Zahlungsmodus entsprach durchaus dem Lohncharakter der fraglichen Leistung und der von den Parteien des Arbeitsvertrages ursprünglich zweifelsohne gewollten langfristigen Dauer ihrer Bindung. In Anbetracht dieser Sachlage zielte daher die ursprünglich erhobene Forderung nicht nur bei weitem über die real geleisteten Einlagen hinaus, in welchem Umfang ihr folglich jede Grundlage fehlte. Sie liesse sich auch mit den getroffenen vertraglichen Abreden oder den Ergebnissen einer richterlichen Vertragsergänzung nach Massgabe des hypothetischen Parteiwillens (vgl. dazu GAUCH/SCHLUEP, a.a.O., Band I, Rz. 1257) schwerlich in Einklang bringen. Daran ändert nichts, dass der Beschwerdeführer bereits ab Beginn des Vorsorgeverhältnisses auch für den Invaliditätsfall vollständigen Versicherungsschutz genossen haben mochte. Mit den nunmehr geforderten Fr. 19'193.--, entsprechend dem Betrag, den der Beschwerdeführer mit monatlichen Beiträgen sowie seiner einmaligen Einlage BGE 122 V 142 S. 151 vom 1. Dezember 1992 (Fr. 14'742.--) tatsächlich geleistet hatte, verhält es sich ähnlich. Diese im Hinblick auf die Steuerplanung getätigte Kapitaleinlage erfolgte - entgegen dem verabredeten üblichen Zahlungsmodus - aus freien Stücken des Beschwerdeführers. Dass für die Arbeitgeberin vorsorgerechtlich eine Verpflichtung zu analoger Leistung bestanden hätte, ist nicht ersichtlich und namentlich der Aufnahmebestätigung vom 9. April 1992 nicht zu entnehmen. Nachdem auch der Beschwerdeführer solches nicht dargetan hat, vermag er mit seinem Hauptantrag nicht durchzudringen.</w:t>
      </w:r>
    </w:p>
    <w:p>
      <w:r>
        <w:rPr>
          <w:b/>
        </w:rPr>
        <w:t>E. 8</w:t>
      </w:r>
    </w:p>
    <w:p>
      <w:r>
        <w:t>Zusammenfassend ergibt sich, dass die Klage im Umfang von Fr. 4'719.20 gutzuheissen ist, welchen Betrag die Beschwerdegegnerin seinerzeit - wenn auch ohne Anerkennung einer Rechtspflicht - zu leisten bereit gewesen wäre. Auf diesem Forderungsbetrag ist ab dem 30. Juni 1993 Verzugszins von 5% zuzusprechen (vgl. BGE 119 V 133 Erw. 4a mit Hinweisen). Für die davorliegende Zeit ist das Guthaben des Beschwerdeführers nach Massgabe des Reglements zu verzinsen (Art. 37 Ziff. 2).</w:t>
      </w:r>
    </w:p>
    <w:p>
      <w:r>
        <w:rPr>
          <w:b/>
        </w:rPr>
        <w:t>E. 9</w:t>
      </w:r>
    </w:p>
    <w:p>
      <w:r>
        <w:t>Der Beschwerdeführer macht die Zusprechung einer Parteientschädigung geltend. Nach der Praxis des Eidg. Versicherungsgerichts steht einem in eigener Sache prozessierenden Rechtsanwalt indes nur ausnahmsweise eine solche zu; vorliegend sind die Ausnahmebedingungen nicht erfüllt ( BGE 110 V 133 ff.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